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472001" w:rsidRDefault="00A57327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 w:rsidRPr="00A57327">
        <w:rPr>
          <w:rFonts w:ascii="Tw Cen MT" w:hAnsi="Tw Cen MT"/>
          <w:noProof/>
          <w:color w:val="FFFF00"/>
          <w:sz w:val="80"/>
          <w:szCs w:val="8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18.4pt;width:51.1pt;height:51.9pt;z-index:251660288" fillcolor="yellow"/>
        </w:pict>
      </w:r>
      <w:r>
        <w:rPr>
          <w:rFonts w:ascii="Tw Cen MT" w:hAnsi="Tw Cen MT"/>
          <w:noProof/>
          <w:sz w:val="80"/>
          <w:szCs w:val="80"/>
        </w:rPr>
        <w:pict>
          <v:shape id="_x0000_s1066" type="#_x0000_t12" style="position:absolute;left:0;text-align:left;margin-left:25.15pt;margin-top:-18.4pt;width:51.1pt;height:51.9pt;z-index:251659264" fillcolor="yellow"/>
        </w:pict>
      </w:r>
      <w:r w:rsidR="0075367B" w:rsidRPr="00472001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A57327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 w:rsidRPr="00A57327"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0pt;margin-top:16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AA2657">
                    <w:rPr>
                      <w:sz w:val="22"/>
                      <w:szCs w:val="22"/>
                    </w:rPr>
                    <w:t xml:space="preserve"> October 1</w:t>
                  </w:r>
                  <w:r w:rsidR="00500104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75367B">
        <w:t xml:space="preserve">                                                               </w:t>
      </w:r>
    </w:p>
    <w:p w:rsidR="0075367B" w:rsidRPr="00472001" w:rsidRDefault="00FE345E" w:rsidP="0075367B">
      <w:pPr>
        <w:pStyle w:val="msoorganizationname"/>
        <w:widowControl w:val="0"/>
        <w:rPr>
          <w:sz w:val="26"/>
          <w:szCs w:val="26"/>
        </w:rPr>
      </w:pPr>
      <w:r w:rsidRPr="00472001">
        <w:rPr>
          <w:sz w:val="26"/>
          <w:szCs w:val="26"/>
        </w:rPr>
        <w:t>Ms. Vaughan’s Third</w:t>
      </w:r>
      <w:r w:rsidR="0075367B" w:rsidRPr="00472001">
        <w:rPr>
          <w:sz w:val="26"/>
          <w:szCs w:val="26"/>
        </w:rPr>
        <w:t xml:space="preserve"> Grade Team                        </w:t>
      </w:r>
    </w:p>
    <w:p w:rsidR="00472001" w:rsidRDefault="00A57327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  <w:r w:rsidRPr="00A57327">
        <w:rPr>
          <w:rFonts w:ascii="Times New Roman" w:hAnsi="Times New Roman"/>
          <w:color w:val="auto"/>
          <w:kern w:val="0"/>
          <w:sz w:val="26"/>
          <w:szCs w:val="26"/>
        </w:rPr>
        <w:pict>
          <v:shape id="_x0000_s1027" type="#_x0000_t202" style="position:absolute;margin-left:438.2pt;margin-top:.1pt;width:101.8pt;height:20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AA2657">
                    <w:rPr>
                      <w:sz w:val="22"/>
                      <w:szCs w:val="22"/>
                    </w:rPr>
                    <w:t>2, Issue 1</w:t>
                  </w:r>
                </w:p>
              </w:txbxContent>
            </v:textbox>
          </v:shape>
        </w:pict>
      </w:r>
      <w:r w:rsidR="00972EE9" w:rsidRPr="00472001">
        <w:rPr>
          <w:sz w:val="26"/>
          <w:szCs w:val="26"/>
        </w:rPr>
        <w:tab/>
      </w:r>
      <w:r w:rsidR="00972EE9" w:rsidRPr="00472001">
        <w:rPr>
          <w:sz w:val="26"/>
          <w:szCs w:val="26"/>
        </w:rPr>
        <w:tab/>
      </w:r>
      <w:r w:rsidR="0075367B" w:rsidRPr="00472001">
        <w:rPr>
          <w:sz w:val="26"/>
          <w:szCs w:val="26"/>
        </w:rPr>
        <w:t xml:space="preserve">Together Everyone Achieves More         </w:t>
      </w:r>
    </w:p>
    <w:p w:rsidR="00472001" w:rsidRPr="00472001" w:rsidRDefault="00472001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</w:p>
    <w:p w:rsidR="00A45644" w:rsidRPr="004546F1" w:rsidRDefault="00A45644" w:rsidP="00A45644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4"/>
          <w:szCs w:val="24"/>
        </w:rPr>
      </w:pPr>
      <w:r>
        <w:rPr>
          <w:rFonts w:ascii="Comic Sans MS" w:hAnsi="Comic Sans MS" w:cs="Arial"/>
          <w:b/>
          <w:color w:val="auto"/>
          <w:sz w:val="24"/>
          <w:szCs w:val="24"/>
        </w:rPr>
        <w:t xml:space="preserve">Thank you for signing up for conferences. </w:t>
      </w:r>
      <w:r w:rsidR="0062510A">
        <w:rPr>
          <w:rFonts w:ascii="Comic Sans MS" w:hAnsi="Comic Sans MS" w:cs="Arial"/>
          <w:b/>
          <w:color w:val="auto"/>
          <w:sz w:val="24"/>
          <w:szCs w:val="24"/>
        </w:rPr>
        <w:t xml:space="preserve">Please contact me if you are unable to make your scheduled time. </w:t>
      </w:r>
      <w:r>
        <w:rPr>
          <w:rFonts w:ascii="Comic Sans MS" w:hAnsi="Comic Sans MS" w:cs="Arial"/>
          <w:b/>
          <w:color w:val="auto"/>
          <w:sz w:val="24"/>
          <w:szCs w:val="24"/>
        </w:rPr>
        <w:t>If you have not signed up for a c</w:t>
      </w:r>
      <w:r w:rsidR="0062510A">
        <w:rPr>
          <w:rFonts w:ascii="Comic Sans MS" w:hAnsi="Comic Sans MS" w:cs="Arial"/>
          <w:b/>
          <w:color w:val="auto"/>
          <w:sz w:val="24"/>
          <w:szCs w:val="24"/>
        </w:rPr>
        <w:t>onference yet, it is not too late to schedule</w:t>
      </w:r>
      <w:r>
        <w:rPr>
          <w:rFonts w:ascii="Comic Sans MS" w:hAnsi="Comic Sans MS" w:cs="Arial"/>
          <w:b/>
          <w:color w:val="auto"/>
          <w:sz w:val="24"/>
          <w:szCs w:val="24"/>
        </w:rPr>
        <w:t>.</w:t>
      </w:r>
    </w:p>
    <w:p w:rsidR="00A45644" w:rsidRPr="00C020CC" w:rsidRDefault="00A45644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62510A" w:rsidRDefault="00A45644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We are beginning our second quarter of 3</w:t>
      </w:r>
      <w:r w:rsidRPr="006F6393">
        <w:rPr>
          <w:rFonts w:ascii="Comic Sans MS" w:hAnsi="Comic Sans MS"/>
          <w:i/>
          <w:sz w:val="22"/>
          <w:szCs w:val="22"/>
          <w:vertAlign w:val="superscript"/>
        </w:rPr>
        <w:t>rd</w:t>
      </w:r>
      <w:r>
        <w:rPr>
          <w:rFonts w:ascii="Comic Sans MS" w:hAnsi="Comic Sans MS"/>
          <w:i/>
          <w:sz w:val="22"/>
          <w:szCs w:val="22"/>
        </w:rPr>
        <w:t xml:space="preserve"> grade this week!  It is an important quarter as we dig deeper in our reading, learn multiplication and division, and begin cursive writing. Whew!  </w:t>
      </w:r>
    </w:p>
    <w:p w:rsidR="0062510A" w:rsidRDefault="0062510A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A45644" w:rsidRDefault="00A45644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 xml:space="preserve">We will continue our multiplication and division unit this week—students will learn </w:t>
      </w:r>
      <w:r w:rsidR="0062510A">
        <w:rPr>
          <w:rFonts w:ascii="Comic Sans MS" w:hAnsi="Comic Sans MS"/>
          <w:i/>
          <w:sz w:val="22"/>
          <w:szCs w:val="22"/>
        </w:rPr>
        <w:t xml:space="preserve">a variety of </w:t>
      </w:r>
      <w:r>
        <w:rPr>
          <w:rFonts w:ascii="Comic Sans MS" w:hAnsi="Comic Sans MS"/>
          <w:i/>
          <w:sz w:val="22"/>
          <w:szCs w:val="22"/>
        </w:rPr>
        <w:t xml:space="preserve">strategies for multiplying and dividing.  Please practice multiplication facts up to 10 x 10 with your child at home—they need to be fluent! In reading, we will look at how characters change in a story and/or in a series.  </w:t>
      </w:r>
      <w:r w:rsidR="0062510A">
        <w:rPr>
          <w:rFonts w:ascii="Comic Sans MS" w:hAnsi="Comic Sans MS"/>
          <w:i/>
          <w:sz w:val="22"/>
          <w:szCs w:val="22"/>
        </w:rPr>
        <w:t>Students are also looking at story elements—characters, s</w:t>
      </w:r>
      <w:r w:rsidR="004753F6">
        <w:rPr>
          <w:rFonts w:ascii="Comic Sans MS" w:hAnsi="Comic Sans MS"/>
          <w:i/>
          <w:sz w:val="22"/>
          <w:szCs w:val="22"/>
        </w:rPr>
        <w:t xml:space="preserve">etting, problem, and solution.  </w:t>
      </w:r>
      <w:r>
        <w:rPr>
          <w:rFonts w:ascii="Comic Sans MS" w:hAnsi="Comic Sans MS"/>
          <w:i/>
          <w:sz w:val="22"/>
          <w:szCs w:val="22"/>
        </w:rPr>
        <w:t>In writing, we start a new unit on opinion writing—</w:t>
      </w:r>
      <w:r w:rsidR="004753F6">
        <w:rPr>
          <w:rFonts w:ascii="Comic Sans MS" w:hAnsi="Comic Sans MS"/>
          <w:i/>
          <w:sz w:val="22"/>
          <w:szCs w:val="22"/>
        </w:rPr>
        <w:t xml:space="preserve">students will write reviews and a persuasive letter. </w:t>
      </w:r>
      <w:r>
        <w:rPr>
          <w:rFonts w:ascii="Comic Sans MS" w:hAnsi="Comic Sans MS"/>
          <w:i/>
          <w:sz w:val="22"/>
          <w:szCs w:val="22"/>
        </w:rPr>
        <w:t xml:space="preserve"> We will also begin a new unit in Social Studies on Government and Citizenship.</w:t>
      </w:r>
    </w:p>
    <w:p w:rsidR="0062510A" w:rsidRDefault="0062510A" w:rsidP="00A45644">
      <w:pPr>
        <w:pStyle w:val="BodyText3"/>
        <w:widowControl w:val="0"/>
        <w:spacing w:after="0"/>
        <w:rPr>
          <w:rFonts w:ascii="Comic Sans MS" w:hAnsi="Comic Sans MS"/>
          <w:i/>
          <w:sz w:val="22"/>
          <w:szCs w:val="22"/>
        </w:rPr>
      </w:pPr>
    </w:p>
    <w:p w:rsidR="0062510A" w:rsidRPr="0062510A" w:rsidRDefault="0062510A" w:rsidP="00A45644">
      <w:pPr>
        <w:pStyle w:val="BodyText3"/>
        <w:widowControl w:val="0"/>
        <w:spacing w:after="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Yearbook information is going home today.  Don’t forget to preorder your yearbook!  </w:t>
      </w:r>
    </w:p>
    <w:p w:rsidR="00F82ABC" w:rsidRPr="00761F3E" w:rsidRDefault="00F82ABC" w:rsidP="00227584">
      <w:pPr>
        <w:pStyle w:val="BodyText3"/>
        <w:widowControl w:val="0"/>
        <w:spacing w:after="0"/>
        <w:rPr>
          <w:rFonts w:ascii="Comic Sans MS" w:hAnsi="Comic Sans MS"/>
          <w:b/>
          <w:sz w:val="16"/>
          <w:szCs w:val="16"/>
        </w:rPr>
      </w:pPr>
    </w:p>
    <w:p w:rsidR="00E90885" w:rsidRDefault="00A45644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Math Night is Tuesday, October 22!  Please join us and learn more about the math curriculum across all grades.  </w:t>
      </w:r>
    </w:p>
    <w:p w:rsidR="00FC0D49" w:rsidRDefault="00FC0D49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</w:p>
    <w:p w:rsidR="00FC0D49" w:rsidRPr="00A45644" w:rsidRDefault="0062510A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Scholastic </w:t>
      </w:r>
      <w:r w:rsidR="00FC0D49">
        <w:rPr>
          <w:rFonts w:ascii="Comic Sans MS" w:hAnsi="Comic Sans MS"/>
          <w:b/>
          <w:i/>
          <w:sz w:val="24"/>
          <w:szCs w:val="24"/>
        </w:rPr>
        <w:t xml:space="preserve">Book Fair is October 14 – 24!  </w:t>
      </w:r>
      <w:r>
        <w:rPr>
          <w:rFonts w:ascii="Comic Sans MS" w:hAnsi="Comic Sans MS"/>
          <w:b/>
          <w:i/>
          <w:sz w:val="24"/>
          <w:szCs w:val="24"/>
        </w:rPr>
        <w:t>The book fair will be open during Math Night!</w:t>
      </w:r>
    </w:p>
    <w:p w:rsidR="00E90885" w:rsidRDefault="00A57327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 w:rsidRPr="00A57327">
        <w:rPr>
          <w:noProof/>
          <w:sz w:val="24"/>
          <w:szCs w:val="24"/>
          <w:lang w:eastAsia="zh-TW"/>
        </w:rPr>
        <w:pict>
          <v:shape id="_x0000_s1070" type="#_x0000_t202" style="position:absolute;margin-left:-7.95pt;margin-top:7.4pt;width:520.35pt;height:76.1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="00AD2259">
                    <w:t xml:space="preserve"> </w:t>
                  </w: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</w:p>
    <w:p w:rsidR="00FF095B" w:rsidRPr="00227584" w:rsidRDefault="005C7588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A57327" w:rsidRPr="00A57327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62510A" w:rsidRDefault="0062510A" w:rsidP="00A45644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</w:rPr>
      </w:pPr>
      <w:r w:rsidRPr="00A57327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left:0;text-align:left;margin-left:259.6pt;margin-top:16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left:0;text-align:left;margin-left:-7.95pt;margin-top:16pt;width:213.9pt;height:96.05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</w:t>
      </w:r>
    </w:p>
    <w:p w:rsidR="00872486" w:rsidRPr="00A45644" w:rsidRDefault="000E76E1" w:rsidP="00A45644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  <w:sz w:val="32"/>
          <w:szCs w:val="32"/>
        </w:rPr>
      </w:pPr>
      <w:r w:rsidRPr="00227584">
        <w:rPr>
          <w:rFonts w:ascii="Comic Sans MS" w:hAnsi="Comic Sans MS"/>
        </w:rPr>
        <w:t>Upcoming Events</w:t>
      </w:r>
      <w:r w:rsidR="00A57327" w:rsidRPr="00A57327">
        <w:rPr>
          <w:rFonts w:ascii="Comic Sans MS" w:hAnsi="Comic Sans MS"/>
          <w:color w:val="auto"/>
          <w:kern w:val="0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A57327" w:rsidRPr="00A57327">
        <w:rPr>
          <w:rFonts w:ascii="Comic Sans MS" w:hAnsi="Comic Sans MS"/>
          <w:color w:val="auto"/>
          <w:kern w:val="0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A57327" w:rsidRPr="00A57327">
        <w:rPr>
          <w:rFonts w:ascii="Comic Sans MS" w:hAnsi="Comic Sans MS"/>
          <w:color w:val="auto"/>
          <w:kern w:val="0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A57327" w:rsidRPr="00A57327">
        <w:rPr>
          <w:color w:val="auto"/>
          <w:kern w:val="0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486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October 11—Report Cards</w:t>
      </w:r>
    </w:p>
    <w:p w:rsidR="00A45644" w:rsidRDefault="0062510A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 w:rsidRPr="00A57327">
        <w:rPr>
          <w:noProof/>
          <w:sz w:val="22"/>
          <w:szCs w:val="22"/>
        </w:rPr>
        <w:pict>
          <v:shape id="_x0000_s1048" type="#_x0000_t202" style="position:absolute;margin-left:220pt;margin-top:12.4pt;width:304.35pt;height:80.3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F82ABC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500104">
                    <w:rPr>
                      <w:rFonts w:ascii="Tw Cen MT" w:hAnsi="Tw Cen MT"/>
                      <w:sz w:val="24"/>
                      <w:szCs w:val="24"/>
                    </w:rPr>
                    <w:t>3.OA.7 Multiplication and Division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BF4B1A">
                    <w:rPr>
                      <w:rFonts w:ascii="Tw Cen MT" w:hAnsi="Tw Cen MT"/>
                      <w:sz w:val="24"/>
                      <w:szCs w:val="24"/>
                    </w:rPr>
                    <w:t>RL3.3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BF4B1A">
                    <w:rPr>
                      <w:rFonts w:ascii="Tw Cen MT" w:hAnsi="Tw Cen MT"/>
                      <w:sz w:val="24"/>
                      <w:szCs w:val="24"/>
                    </w:rPr>
                    <w:t>Character Study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A45644">
                    <w:rPr>
                      <w:rFonts w:ascii="Tw Cen MT" w:hAnsi="Tw Cen MT"/>
                      <w:sz w:val="24"/>
                      <w:szCs w:val="24"/>
                    </w:rPr>
                    <w:t>W3.1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A45644">
                    <w:rPr>
                      <w:rFonts w:ascii="Tw Cen MT" w:hAnsi="Tw Cen MT"/>
                      <w:sz w:val="24"/>
                      <w:szCs w:val="24"/>
                    </w:rPr>
                    <w:t>Opinion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Writing</w:t>
                  </w:r>
                </w:p>
                <w:p w:rsidR="008C5D37" w:rsidRPr="009E3E10" w:rsidRDefault="00FC0D49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Social Studies: 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>3.C and G.1.3 Government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45644">
        <w:rPr>
          <w:rFonts w:ascii="Comic Sans MS" w:hAnsi="Comic Sans MS"/>
          <w:color w:val="auto"/>
          <w:sz w:val="22"/>
          <w:szCs w:val="22"/>
        </w:rPr>
        <w:t>October 22—Math Night</w:t>
      </w:r>
    </w:p>
    <w:p w:rsidR="004C7DFC" w:rsidRPr="00472001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October 31—Make Up Pictures</w:t>
      </w:r>
      <w:r w:rsidR="00500104" w:rsidRPr="00472001">
        <w:rPr>
          <w:rFonts w:ascii="Comic Sans MS" w:hAnsi="Comic Sans MS"/>
          <w:color w:val="auto"/>
          <w:sz w:val="22"/>
          <w:szCs w:val="22"/>
        </w:rPr>
        <w:t xml:space="preserve"> </w:t>
      </w:r>
    </w:p>
    <w:sectPr w:rsidR="004C7DFC" w:rsidRPr="00472001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F37CB"/>
    <w:multiLevelType w:val="hybridMultilevel"/>
    <w:tmpl w:val="49747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7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20"/>
  </w:num>
  <w:num w:numId="19">
    <w:abstractNumId w:val="24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3"/>
  </w:num>
  <w:num w:numId="29">
    <w:abstractNumId w:val="19"/>
  </w:num>
  <w:num w:numId="30">
    <w:abstractNumId w:val="18"/>
  </w:num>
  <w:num w:numId="31">
    <w:abstractNumId w:val="15"/>
  </w:num>
  <w:num w:numId="32">
    <w:abstractNumId w:val="7"/>
  </w:num>
  <w:num w:numId="33">
    <w:abstractNumId w:val="14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A1652"/>
    <w:rsid w:val="000C0D38"/>
    <w:rsid w:val="000C61EE"/>
    <w:rsid w:val="000D1A30"/>
    <w:rsid w:val="000D2DDB"/>
    <w:rsid w:val="000D642A"/>
    <w:rsid w:val="000E0D32"/>
    <w:rsid w:val="000E34E5"/>
    <w:rsid w:val="000E4591"/>
    <w:rsid w:val="000E76E1"/>
    <w:rsid w:val="000F2999"/>
    <w:rsid w:val="00104094"/>
    <w:rsid w:val="00104E83"/>
    <w:rsid w:val="001135D4"/>
    <w:rsid w:val="001162E6"/>
    <w:rsid w:val="00117098"/>
    <w:rsid w:val="00123251"/>
    <w:rsid w:val="00132475"/>
    <w:rsid w:val="001564BE"/>
    <w:rsid w:val="0018482D"/>
    <w:rsid w:val="00184B56"/>
    <w:rsid w:val="00193856"/>
    <w:rsid w:val="001949BF"/>
    <w:rsid w:val="001A17F9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19E7"/>
    <w:rsid w:val="00264D36"/>
    <w:rsid w:val="00276885"/>
    <w:rsid w:val="0028530C"/>
    <w:rsid w:val="002A526E"/>
    <w:rsid w:val="002B561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621AF"/>
    <w:rsid w:val="00367ADC"/>
    <w:rsid w:val="003825FC"/>
    <w:rsid w:val="00391CEE"/>
    <w:rsid w:val="003A539F"/>
    <w:rsid w:val="003B6F37"/>
    <w:rsid w:val="003C3F17"/>
    <w:rsid w:val="003E2F47"/>
    <w:rsid w:val="003E3086"/>
    <w:rsid w:val="003F56AC"/>
    <w:rsid w:val="003F58D1"/>
    <w:rsid w:val="003F71C2"/>
    <w:rsid w:val="00407A07"/>
    <w:rsid w:val="00410C2D"/>
    <w:rsid w:val="004157FD"/>
    <w:rsid w:val="00446BB3"/>
    <w:rsid w:val="004535CA"/>
    <w:rsid w:val="004546F1"/>
    <w:rsid w:val="004554FF"/>
    <w:rsid w:val="00471D5D"/>
    <w:rsid w:val="00472001"/>
    <w:rsid w:val="004753F6"/>
    <w:rsid w:val="004756B8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EA0"/>
    <w:rsid w:val="00500104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183F"/>
    <w:rsid w:val="006120CF"/>
    <w:rsid w:val="00624A9C"/>
    <w:rsid w:val="0062510A"/>
    <w:rsid w:val="00626C86"/>
    <w:rsid w:val="00630E40"/>
    <w:rsid w:val="006332D4"/>
    <w:rsid w:val="0063742E"/>
    <w:rsid w:val="00657B50"/>
    <w:rsid w:val="006643E3"/>
    <w:rsid w:val="0066459F"/>
    <w:rsid w:val="006742AB"/>
    <w:rsid w:val="00685B88"/>
    <w:rsid w:val="00692C73"/>
    <w:rsid w:val="00696765"/>
    <w:rsid w:val="006A43D4"/>
    <w:rsid w:val="006B6D86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61F3E"/>
    <w:rsid w:val="007623D6"/>
    <w:rsid w:val="00764158"/>
    <w:rsid w:val="007714B2"/>
    <w:rsid w:val="00772AC6"/>
    <w:rsid w:val="00772CA8"/>
    <w:rsid w:val="007759C3"/>
    <w:rsid w:val="0079295C"/>
    <w:rsid w:val="0079567E"/>
    <w:rsid w:val="0079759A"/>
    <w:rsid w:val="007A10C8"/>
    <w:rsid w:val="007B0958"/>
    <w:rsid w:val="007B1EED"/>
    <w:rsid w:val="007C7456"/>
    <w:rsid w:val="007D3A8F"/>
    <w:rsid w:val="007E1F6A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72486"/>
    <w:rsid w:val="008768E2"/>
    <w:rsid w:val="00884C5E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45448"/>
    <w:rsid w:val="0095667F"/>
    <w:rsid w:val="00963A48"/>
    <w:rsid w:val="00967B99"/>
    <w:rsid w:val="00972A71"/>
    <w:rsid w:val="00972EE9"/>
    <w:rsid w:val="00977E8E"/>
    <w:rsid w:val="00982BFF"/>
    <w:rsid w:val="00984CC2"/>
    <w:rsid w:val="009A059E"/>
    <w:rsid w:val="009A3405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310D1"/>
    <w:rsid w:val="00A45644"/>
    <w:rsid w:val="00A45A25"/>
    <w:rsid w:val="00A57327"/>
    <w:rsid w:val="00A86479"/>
    <w:rsid w:val="00AA2657"/>
    <w:rsid w:val="00AA2822"/>
    <w:rsid w:val="00AA6EE9"/>
    <w:rsid w:val="00AB2879"/>
    <w:rsid w:val="00AB6A0F"/>
    <w:rsid w:val="00AC0696"/>
    <w:rsid w:val="00AC427E"/>
    <w:rsid w:val="00AD2259"/>
    <w:rsid w:val="00AE424C"/>
    <w:rsid w:val="00AF0962"/>
    <w:rsid w:val="00AF3221"/>
    <w:rsid w:val="00B00383"/>
    <w:rsid w:val="00B10F3F"/>
    <w:rsid w:val="00B27F7B"/>
    <w:rsid w:val="00B47BB3"/>
    <w:rsid w:val="00B52F38"/>
    <w:rsid w:val="00B5734D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BF4B1A"/>
    <w:rsid w:val="00C020CC"/>
    <w:rsid w:val="00C10B63"/>
    <w:rsid w:val="00C136CF"/>
    <w:rsid w:val="00C2206C"/>
    <w:rsid w:val="00C24623"/>
    <w:rsid w:val="00C26084"/>
    <w:rsid w:val="00C51149"/>
    <w:rsid w:val="00C54031"/>
    <w:rsid w:val="00C56DD6"/>
    <w:rsid w:val="00C57B19"/>
    <w:rsid w:val="00C8276E"/>
    <w:rsid w:val="00C945B2"/>
    <w:rsid w:val="00C95A48"/>
    <w:rsid w:val="00CB471E"/>
    <w:rsid w:val="00CC763E"/>
    <w:rsid w:val="00CD2384"/>
    <w:rsid w:val="00CE31E2"/>
    <w:rsid w:val="00D1414C"/>
    <w:rsid w:val="00D15D6D"/>
    <w:rsid w:val="00D415B2"/>
    <w:rsid w:val="00D61181"/>
    <w:rsid w:val="00DA603A"/>
    <w:rsid w:val="00DB5D2C"/>
    <w:rsid w:val="00DC1132"/>
    <w:rsid w:val="00DC2728"/>
    <w:rsid w:val="00DE3729"/>
    <w:rsid w:val="00DF4B25"/>
    <w:rsid w:val="00E02FE6"/>
    <w:rsid w:val="00E219BD"/>
    <w:rsid w:val="00E411CF"/>
    <w:rsid w:val="00E46DB3"/>
    <w:rsid w:val="00E500F8"/>
    <w:rsid w:val="00E66124"/>
    <w:rsid w:val="00E709C3"/>
    <w:rsid w:val="00E72B5A"/>
    <w:rsid w:val="00E81AF4"/>
    <w:rsid w:val="00E83B32"/>
    <w:rsid w:val="00E8673B"/>
    <w:rsid w:val="00E90885"/>
    <w:rsid w:val="00EA2115"/>
    <w:rsid w:val="00EA53E9"/>
    <w:rsid w:val="00EB2EA6"/>
    <w:rsid w:val="00EC32C2"/>
    <w:rsid w:val="00ED61B5"/>
    <w:rsid w:val="00EE7A69"/>
    <w:rsid w:val="00EF0203"/>
    <w:rsid w:val="00EF54C5"/>
    <w:rsid w:val="00EF71AC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2ABC"/>
    <w:rsid w:val="00F85D7F"/>
    <w:rsid w:val="00F868B5"/>
    <w:rsid w:val="00F91B3A"/>
    <w:rsid w:val="00F95E77"/>
    <w:rsid w:val="00F9724A"/>
    <w:rsid w:val="00FA3BA8"/>
    <w:rsid w:val="00FA6BF0"/>
    <w:rsid w:val="00FC0D49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9218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1571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4</cp:revision>
  <cp:lastPrinted>2012-09-18T01:34:00Z</cp:lastPrinted>
  <dcterms:created xsi:type="dcterms:W3CDTF">2013-09-30T23:34:00Z</dcterms:created>
  <dcterms:modified xsi:type="dcterms:W3CDTF">2013-09-30T23:57:00Z</dcterms:modified>
</cp:coreProperties>
</file>